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F8" w:rsidRPr="004F27F8" w:rsidRDefault="004F27F8" w:rsidP="004F27F8">
      <w:pPr>
        <w:shd w:val="clear" w:color="auto" w:fill="FFFFFF"/>
        <w:spacing w:before="226" w:after="151" w:line="376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4F27F8">
        <w:rPr>
          <w:rFonts w:ascii="Montserrat" w:eastAsia="Times New Roman" w:hAnsi="Montserrat" w:cs="Times New Roman"/>
          <w:b/>
          <w:bCs/>
          <w:color w:val="000000"/>
          <w:kern w:val="36"/>
          <w:sz w:val="30"/>
          <w:szCs w:val="30"/>
          <w:lang w:eastAsia="ru-RU"/>
        </w:rPr>
        <w:t>Порядок подачи и рассмотрения апелляций участника ГИА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​Право подачи апелляции имеют обучающиеся, выпускники прошлых лет, являющиеся участниками ГИА в текущем году.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b/>
          <w:bCs/>
          <w:color w:val="000000"/>
          <w:sz w:val="15"/>
          <w:lang w:eastAsia="ru-RU"/>
        </w:rPr>
        <w:t>Апелляцией о нарушении установленного порядка проведения ГИА признается аргументированное письменное заявление о нарушении установленного порядка проведения ГИА</w:t>
      </w: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. Указанная апелляция подается участником ГИА непосредственно в день проведения экзамена по соответствующему учебному предмету члену ГЭК (уполномоченному члену РГЭК), не покидая ППЭ.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Апелляция составляется в письменной форме в двух экземплярах: один передается в Конфликтную комиссию автономного округа, другой, с пометкой члена ГЭК (уполномоченного члена РГЭК), о принятии ее на рассмотрение в Конфликтную комиссию автономного округа, остается у участника ГИА (форма ППЭ-02). Член ГЭК (уполномоченный член РГЭК), принявший апелляцию, в тот же день направляет ее в Конфликтную комиссию автономного округа.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Конфликтная комиссия автономного округа рассматривает апелляцию о нарушении установленного порядка проведения ГИА в течение двух рабочих дней с момента ее поступления в Конфликтную комиссию.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После получения апелляции о нарушении установленного порядка проведения ГИА членом ГЭК (уполномоченным членом РГЭК) в ППЭ в день проведения экзамена организуется проведение проверки при участии организаторов, не задействованных в аудитории, в которой сдавал экзамен участник ГИА, технических специалистов и ассистентов, общественных наблюдателей, сотрудников, осуществляющих охрану правопорядка, и медицинских работников.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членами ГЭК (РГЭК) в Конфликтную комиссию автономного округа.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proofErr w:type="gram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После поступления апелляции в Конфликтную комиссию автономного округа секретарь Конфликтной комиссии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  <w:proofErr w:type="gramEnd"/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Дата, время и место рассмотрения апелляции утверждается правовым актом Департамента.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целях выполнения своих функций Конфликтная комиссия автономного округа запрашивает у уполномоченных лиц и организаций необходимые документы и сведения, в том числе экзаменационные работы ГВЭ, бланки ЕГЭ и ОГЭ, контрольно-измерительные материалы (далее - КИМ), сведения о лицах, присутствовавших в ППЭ, иные сведения о соблюдении порядка проведения ГИА.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Рассмотрение апелляции проводится в спокойной и доброжелательной обстановке.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При рассмотрении апелляции о нарушении установленного Порядка проведения ГИА Конфликтная комиссия автономного округа рассматривает апелляцию и заключение о результатах проверки и выносит решение.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случае удовлетворения апелляции о нарушении установленного порядка проведения ГИА и соответствующего решения ГЭК результат апеллянта аннулируется в РИС и ФИС, участник будет допущен до повторной сдачи экзамена по соответствующему решению ГЭК.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При отклонении апелляции результат апеллянта не изменяется и остается действующим.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После рассмотрения апелляции о нарушении установленного порядка проведения ГИА секретарь Конфликтной комиссии передает в ГЭК (РГЭК) для утверждения и руководителю РЦОИ для внесения в РИС и передачи в ФИС (срок внесения в РИС - не позднее двух календарных дней с момента принятия решения Конфликтной комиссии).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b/>
          <w:bCs/>
          <w:color w:val="000000"/>
          <w:sz w:val="15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</w:t>
      </w: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Обучающиеся подают апелляцию о несогласии с выставленными баллами руководителю организации, осуществляющей образовательную деятельность, в которой они были допущены в установленном порядке к ГИА, выпускники прошлых лет – руководителю организации, на базе которой организован ППЭ, где выпускник прошлых лет проходил ГИА.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Руководитель образовательной организации, принявший апелляцию, должен незамедлительно обеспечить передачу апелляции (форма 1-АП) в Конфликтную комиссию автономного округа по защищенным каналам связи и убедиться в присвоении ей регистрационного номера.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Апелляция о несогласии с выставленными баллами может быть подана участником ГИА непосредственно в Конфликтную комиссию автономного округа (</w:t>
      </w:r>
      <w:proofErr w:type="gram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г</w:t>
      </w:r>
      <w:proofErr w:type="gram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. Ханты-Мансийск, ул. Чехова, д. 12, РЦОИ, </w:t>
      </w:r>
      <w:proofErr w:type="spell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каб</w:t>
      </w:r>
      <w:proofErr w:type="spell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. 302).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При подаче апелляции участникам ГИА предоставляется возможность выбрать способ ее рассмотрения:</w:t>
      </w:r>
    </w:p>
    <w:p w:rsidR="004F27F8" w:rsidRPr="004F27F8" w:rsidRDefault="004F27F8" w:rsidP="004F27F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«в моем присутствии» (централизованно в РЦОИ);</w:t>
      </w:r>
    </w:p>
    <w:p w:rsidR="004F27F8" w:rsidRPr="004F27F8" w:rsidRDefault="004F27F8" w:rsidP="004F27F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«в присутствии лица, представляющего мои интересы»;</w:t>
      </w:r>
    </w:p>
    <w:p w:rsidR="004F27F8" w:rsidRPr="004F27F8" w:rsidRDefault="004F27F8" w:rsidP="004F27F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«в моем присутствии, с использованием Типового программного решения Конфликтных комиссий в пункте рассмотрения апелляций»;</w:t>
      </w:r>
    </w:p>
    <w:p w:rsidR="004F27F8" w:rsidRPr="004F27F8" w:rsidRDefault="004F27F8" w:rsidP="004F27F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«без моего присутствия».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proofErr w:type="gram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После поступления апелляции в Конфликтную комиссию автономного округа секретарь комиссии регистрируют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  <w:proofErr w:type="gramEnd"/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Дата, время и место рассмотрения апелляции утверждается правовым актом Департамента.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 При рассмотрении апелляции о несогласии с выставленными баллами Конфликтная комиссия автономного округа запрашивает в РЦОИ: апелляционный комплект документов, в том числе распечатанные изображения бланков регистрации и бланков ответов; электронные носители, содержащие файлы с цифровой аудиозаписью устных ответов носители, содержащие файлы с цифровой аудиозаписью устных ответов участников; критерии оценивания развернутых и (или) устных ответов и, в случае необходимости, вариант КИМ, выполнявшийся участником </w:t>
      </w: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lastRenderedPageBreak/>
        <w:t>ГИА; копии протоколов проверки экзаменационной работы экспертами ПК; а также тексты, темы, задания, билеты, выполнявшиеся участником ГИА, подавшим апелляцию.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Указанные материалы предъявляются обучающемуся, выпускнику прошлых лет (в случае его участия в рассмотрении апелляции, с изображениями сканированных копий – интерактивно). Обучающийся,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 итогам рассмотрения апелляций о несогласии с выставленными баллами по результатам ГИА апеллянту выдается форма У-33.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Секретарь Конфликтной комиссии передает полученные апелляционные комплекты документов председателю Конфликтной комиссии, который в тот же день передает указанные документы председателю Предметной комиссии с целью </w:t>
      </w:r>
      <w:proofErr w:type="gram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установления правильности оценивания экзаменационной работы участника</w:t>
      </w:r>
      <w:proofErr w:type="gram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ГИА экспертами ПК, заблаговременно до заседания Конфликтной комиссии.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случае если привлеченные эксперты ПК  не дают однозначного ответа о правильности оценивания экзаменационной работы участника ГИА Конфликтная комиссия автономного округа обращается в Федеральный институт педагогических измерений (Комиссию по разработке КИМ) по соответствующему учебному предмету с запросом о разъяснениях по содержанию заданий КИМ, по критериям оценивания.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После проведения экспертами ПК соответствующей работы по установлению правильности оценивания экзаменационной работы председатель Предметной комиссии в тот же день передает председателю Конфликтной комиссии апелляционные комплекты документов и заключения.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Председатель Конфликтной комиссии после получения названных выше документов организует работу по рассмотрению апелляции о несогласии с выставленными баллами. Время, рекомендуемое на рассмотрение одной апелляции (включая разъяснения по оцениванию развернутых и (или) устных ответов), не более 30 минут.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Конфликтная комиссия автономного округа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указанию к заданию КИМ, а также Правилам заполнения бланков.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Участники ГИА и (или) их родители (законные представители) при желании присутствуют при рассмотрении апелляции. Указанные лица должны иметь при себе документы, удостоверяющие их личность.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При рассмотрении апелляции также присутствуют: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а) члены ГЭК (РГЭК) по решению председателя ГЭК (РГЭК);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б) общественные наблюдатели, аккредитованные в установленном порядке, по желанию;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в) должностные лица </w:t>
      </w:r>
      <w:proofErr w:type="spell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Рособрнадзора</w:t>
      </w:r>
      <w:proofErr w:type="spell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, Службы по контролю и надзору в сфере образования Ханты-Мансийского автономного округа - </w:t>
      </w:r>
      <w:proofErr w:type="spell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Югры</w:t>
      </w:r>
      <w:proofErr w:type="spell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– по решению соответствующих органов.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По результатам рассмотрения апелляции о несогласии с выставленными баллами Конфликтная комиссия автономного округа принимает решение:</w:t>
      </w:r>
    </w:p>
    <w:p w:rsidR="004F27F8" w:rsidRPr="004F27F8" w:rsidRDefault="004F27F8" w:rsidP="004F27F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4F27F8" w:rsidRPr="004F27F8" w:rsidRDefault="004F27F8" w:rsidP="004F27F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Свое решение по результатам рассмотрения апелляции о несогласии с выставленными баллами Конфликтная комиссия автономного округа фиксирует в протоколе рассмотрения апелляции.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Протоколы Конфликтной комиссии автономного округа о рассмотрении апелляций в течение одного календарного дня передаются в РЦОИ для внесения соответствующей информации в РИС.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случае выявления ошибок в обработке и (или) проверке экзаменационной работы участника ГИА Конфликтная комиссия автономного округа передает соответствующую информацию в РЦОИ, предметную комиссию для пересчета результатов ГИА.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Для пересчета результатов ЕГЭ протокол Конфликтной комиссии автономного округа в течение двух календарных дней направляется РЦОИ в ФГБУ «Федеральный центр тестирования» (далее - ФЦТ). ФЦТ передает измененные по итогам пересчета результаты ЕГЭ в РЦОИ, которые в течение одного календарного дня представляет их для утверждения ГЭК (РГЭК).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В случае обнаружения несоответствий изображений бланков ЕГЭ (оригинала и копии их распознавания) и (или) необоснованного изменения баллов за выполнение заданий с развернутым и (или) устным ответом апеллянта ФЦТ сообщает об установленном факте в </w:t>
      </w:r>
      <w:proofErr w:type="spell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Рособрнадзор</w:t>
      </w:r>
      <w:proofErr w:type="spell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. </w:t>
      </w:r>
      <w:proofErr w:type="spell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Рособрнадзор</w:t>
      </w:r>
      <w:proofErr w:type="spell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направляет на рассмотрение в ГЭК информацию о несоответствиях и (или) о необоснованном изменении баллов участника ГИА.</w:t>
      </w:r>
    </w:p>
    <w:p w:rsidR="004F27F8" w:rsidRPr="004F27F8" w:rsidRDefault="004F27F8" w:rsidP="004F27F8">
      <w:pPr>
        <w:shd w:val="clear" w:color="auto" w:fill="FFFFFF"/>
        <w:spacing w:before="56" w:after="132" w:line="240" w:lineRule="auto"/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</w:pPr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По предоставленным фактам ГЭК назначает служебное расследование. Дальнейшее рассмотрение апелляции возможно только по утвержденным результатам служебного расследования с обязательным уведомлением о результатах расследования </w:t>
      </w:r>
      <w:proofErr w:type="spellStart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>Рособрнадзора</w:t>
      </w:r>
      <w:proofErr w:type="spellEnd"/>
      <w:r w:rsidRPr="004F27F8">
        <w:rPr>
          <w:rFonts w:ascii="Montserrat" w:eastAsia="Times New Roman" w:hAnsi="Montserrat" w:cs="Times New Roman"/>
          <w:color w:val="000000"/>
          <w:sz w:val="15"/>
          <w:szCs w:val="15"/>
          <w:lang w:eastAsia="ru-RU"/>
        </w:rPr>
        <w:t xml:space="preserve"> и ФЦТ.</w:t>
      </w:r>
    </w:p>
    <w:p w:rsidR="00681E36" w:rsidRDefault="00681E36"/>
    <w:sectPr w:rsidR="00681E36" w:rsidSect="0068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1E0"/>
    <w:multiLevelType w:val="multilevel"/>
    <w:tmpl w:val="CA2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FE3"/>
    <w:multiLevelType w:val="multilevel"/>
    <w:tmpl w:val="B226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F27F8"/>
    <w:rsid w:val="004F27F8"/>
    <w:rsid w:val="0068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6"/>
  </w:style>
  <w:style w:type="paragraph" w:styleId="1">
    <w:name w:val="heading 1"/>
    <w:basedOn w:val="a"/>
    <w:link w:val="10"/>
    <w:uiPriority w:val="9"/>
    <w:qFormat/>
    <w:rsid w:val="004F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2023-04-12T11:32:00Z</dcterms:created>
  <dcterms:modified xsi:type="dcterms:W3CDTF">2023-04-12T11:32:00Z</dcterms:modified>
</cp:coreProperties>
</file>